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0AD" w:rsidRDefault="00CB70AD" w:rsidP="00CB70AD">
      <w:pPr>
        <w:keepNext/>
        <w:spacing w:after="0" w:line="360" w:lineRule="auto"/>
        <w:jc w:val="both"/>
        <w:rPr>
          <w:rFonts w:ascii="Times New Roman" w:hAnsi="Times New Roman"/>
          <w:i/>
          <w:sz w:val="20"/>
        </w:rPr>
      </w:pPr>
      <w:proofErr w:type="spellStart"/>
      <w:r w:rsidRPr="004A6A82">
        <w:rPr>
          <w:rFonts w:ascii="Times New Roman" w:hAnsi="Times New Roman" w:cs="Times New Roman"/>
          <w:sz w:val="20"/>
        </w:rPr>
        <w:t>Quadro</w:t>
      </w:r>
      <w:proofErr w:type="spellEnd"/>
      <w:r w:rsidRPr="004A6A82">
        <w:rPr>
          <w:rFonts w:ascii="Times New Roman" w:hAnsi="Times New Roman" w:cs="Times New Roman"/>
          <w:sz w:val="20"/>
        </w:rPr>
        <w:t xml:space="preserve"> 6</w:t>
      </w:r>
    </w:p>
    <w:p w:rsidR="00CB70AD" w:rsidRPr="00307F1B" w:rsidRDefault="00CB70AD" w:rsidP="00CB70AD">
      <w:pPr>
        <w:keepNext/>
        <w:spacing w:after="0" w:line="360" w:lineRule="auto"/>
        <w:jc w:val="both"/>
        <w:rPr>
          <w:rFonts w:ascii="Times New Roman" w:hAnsi="Times New Roman" w:cs="Times New Roman"/>
          <w:i/>
        </w:rPr>
      </w:pPr>
      <w:proofErr w:type="spellStart"/>
      <w:r w:rsidRPr="00307F1B">
        <w:rPr>
          <w:rFonts w:ascii="Times New Roman" w:hAnsi="Times New Roman" w:cs="Times New Roman"/>
          <w:i/>
          <w:sz w:val="20"/>
        </w:rPr>
        <w:t>Possibilidades</w:t>
      </w:r>
      <w:proofErr w:type="spellEnd"/>
      <w:r w:rsidRPr="00307F1B">
        <w:rPr>
          <w:rFonts w:ascii="Times New Roman" w:hAnsi="Times New Roman" w:cs="Times New Roman"/>
          <w:i/>
          <w:sz w:val="20"/>
        </w:rPr>
        <w:t xml:space="preserve"> de </w:t>
      </w:r>
      <w:proofErr w:type="spellStart"/>
      <w:r w:rsidRPr="00307F1B">
        <w:rPr>
          <w:rFonts w:ascii="Times New Roman" w:hAnsi="Times New Roman" w:cs="Times New Roman"/>
          <w:i/>
          <w:sz w:val="20"/>
        </w:rPr>
        <w:t>avaliação</w:t>
      </w:r>
      <w:proofErr w:type="spellEnd"/>
      <w:r w:rsidRPr="00307F1B">
        <w:rPr>
          <w:rFonts w:ascii="Times New Roman" w:hAnsi="Times New Roman" w:cs="Times New Roman"/>
          <w:i/>
          <w:sz w:val="20"/>
        </w:rPr>
        <w:t xml:space="preserve"> e </w:t>
      </w:r>
      <w:proofErr w:type="spellStart"/>
      <w:r w:rsidRPr="00307F1B">
        <w:rPr>
          <w:rFonts w:ascii="Times New Roman" w:hAnsi="Times New Roman" w:cs="Times New Roman"/>
          <w:i/>
          <w:sz w:val="20"/>
        </w:rPr>
        <w:t>funções</w:t>
      </w:r>
      <w:proofErr w:type="spellEnd"/>
      <w:r w:rsidRPr="00307F1B">
        <w:rPr>
          <w:rFonts w:ascii="Times New Roman" w:hAnsi="Times New Roman" w:cs="Times New Roman"/>
          <w:i/>
          <w:sz w:val="20"/>
        </w:rPr>
        <w:t xml:space="preserve"> dos MTF-Is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985"/>
        <w:gridCol w:w="951"/>
        <w:gridCol w:w="1229"/>
        <w:gridCol w:w="1151"/>
        <w:gridCol w:w="1007"/>
        <w:gridCol w:w="1362"/>
        <w:gridCol w:w="963"/>
      </w:tblGrid>
      <w:tr w:rsidR="00CB70AD" w:rsidRPr="004A6A82" w:rsidTr="002F57A2">
        <w:trPr>
          <w:trHeight w:val="300"/>
        </w:trPr>
        <w:tc>
          <w:tcPr>
            <w:tcW w:w="1980" w:type="dxa"/>
            <w:vMerge w:val="restart"/>
            <w:shd w:val="clear" w:color="auto" w:fill="BFBFBF" w:themeFill="background1" w:themeFillShade="BF"/>
            <w:noWrap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MTF-Is</w:t>
            </w:r>
          </w:p>
        </w:tc>
        <w:tc>
          <w:tcPr>
            <w:tcW w:w="1051" w:type="dxa"/>
            <w:vMerge w:val="restart"/>
            <w:shd w:val="clear" w:color="auto" w:fill="BFBFBF" w:themeFill="background1" w:themeFillShade="BF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Avaliação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Individual</w:t>
            </w:r>
          </w:p>
        </w:tc>
        <w:tc>
          <w:tcPr>
            <w:tcW w:w="951" w:type="dxa"/>
            <w:vMerge w:val="restart"/>
            <w:shd w:val="clear" w:color="auto" w:fill="BFBFBF" w:themeFill="background1" w:themeFillShade="BF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Avaliação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em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Grupo</w:t>
            </w:r>
            <w:proofErr w:type="spellEnd"/>
          </w:p>
        </w:tc>
        <w:tc>
          <w:tcPr>
            <w:tcW w:w="3321" w:type="dxa"/>
            <w:gridSpan w:val="3"/>
            <w:shd w:val="clear" w:color="auto" w:fill="BFBFBF" w:themeFill="background1" w:themeFillShade="BF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Geração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Informação</w:t>
            </w:r>
            <w:proofErr w:type="spellEnd"/>
          </w:p>
        </w:tc>
        <w:tc>
          <w:tcPr>
            <w:tcW w:w="2325" w:type="dxa"/>
            <w:gridSpan w:val="2"/>
            <w:shd w:val="clear" w:color="auto" w:fill="BFBFBF" w:themeFill="background1" w:themeFillShade="BF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Aprendizagem</w:t>
            </w:r>
            <w:proofErr w:type="spellEnd"/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vMerge/>
            <w:shd w:val="clear" w:color="auto" w:fill="BFBFBF" w:themeFill="background1" w:themeFillShade="BF"/>
            <w:noWrap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51" w:type="dxa"/>
            <w:vMerge/>
            <w:shd w:val="clear" w:color="auto" w:fill="BFBFBF" w:themeFill="background1" w:themeFillShade="BF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951" w:type="dxa"/>
            <w:vMerge/>
            <w:shd w:val="clear" w:color="auto" w:fill="BFBFBF" w:themeFill="background1" w:themeFillShade="BF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229" w:type="dxa"/>
            <w:shd w:val="clear" w:color="auto" w:fill="BFBFBF" w:themeFill="background1" w:themeFillShade="BF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Extrapolativo</w:t>
            </w:r>
            <w:proofErr w:type="spellEnd"/>
          </w:p>
        </w:tc>
        <w:tc>
          <w:tcPr>
            <w:tcW w:w="1085" w:type="dxa"/>
            <w:shd w:val="clear" w:color="auto" w:fill="BFBFBF" w:themeFill="background1" w:themeFillShade="BF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Exploratório</w:t>
            </w:r>
            <w:proofErr w:type="spellEnd"/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Normativo</w:t>
            </w:r>
            <w:proofErr w:type="spellEnd"/>
          </w:p>
        </w:tc>
        <w:tc>
          <w:tcPr>
            <w:tcW w:w="1362" w:type="dxa"/>
            <w:shd w:val="clear" w:color="auto" w:fill="BFBFBF" w:themeFill="background1" w:themeFillShade="BF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Organizacional</w:t>
            </w:r>
            <w:proofErr w:type="spellEnd"/>
          </w:p>
        </w:tc>
        <w:tc>
          <w:tcPr>
            <w:tcW w:w="963" w:type="dxa"/>
            <w:shd w:val="clear" w:color="auto" w:fill="BFBFBF" w:themeFill="background1" w:themeFillShade="BF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Individual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Análise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frequência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publicação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Análise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citações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publicadas</w:t>
            </w:r>
            <w:proofErr w:type="spellEnd"/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Análise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conferência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quantitativa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Análise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freqüência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patente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Análise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citações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patente</w:t>
            </w:r>
            <w:proofErr w:type="spellEnd"/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Análise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curva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-S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Estudos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benchmarking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Portfolios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Estudos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Delphi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Painéis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especialistas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Entrevistas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com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especialistas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flexíveis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Roadmaps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tecnológicos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Roadmaps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produtos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tecnológicos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Roadmaps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produtos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Curvas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experiência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Simulações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Modelos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opções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precificação</w:t>
            </w:r>
            <w:proofErr w:type="spellEnd"/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Análise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cenários</w:t>
            </w:r>
            <w:proofErr w:type="spellEnd"/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Análise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Lead User</w:t>
            </w:r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  <w:tr w:rsidR="00CB70AD" w:rsidRPr="004A6A82" w:rsidTr="002F57A2">
        <w:trPr>
          <w:trHeight w:val="300"/>
        </w:trPr>
        <w:tc>
          <w:tcPr>
            <w:tcW w:w="1980" w:type="dxa"/>
            <w:shd w:val="clear" w:color="auto" w:fill="auto"/>
            <w:noWrap/>
            <w:vAlign w:val="bottom"/>
          </w:tcPr>
          <w:p w:rsidR="00CB70AD" w:rsidRPr="004A6A82" w:rsidRDefault="00CB70AD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Desdobramento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da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Função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 xml:space="preserve">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Qualidade</w:t>
            </w:r>
            <w:proofErr w:type="spellEnd"/>
          </w:p>
        </w:tc>
        <w:tc>
          <w:tcPr>
            <w:tcW w:w="10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51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229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1085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7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362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  <w:tc>
          <w:tcPr>
            <w:tcW w:w="963" w:type="dxa"/>
            <w:vAlign w:val="center"/>
          </w:tcPr>
          <w:p w:rsidR="00CB70AD" w:rsidRPr="004A6A82" w:rsidRDefault="00CB70AD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X</w:t>
            </w:r>
          </w:p>
        </w:tc>
      </w:tr>
    </w:tbl>
    <w:p w:rsidR="00CB70AD" w:rsidRPr="004A6A82" w:rsidRDefault="00CB70AD" w:rsidP="00CB70AD">
      <w:pPr>
        <w:pStyle w:val="Corpodetexto"/>
        <w:spacing w:after="0" w:line="360" w:lineRule="auto"/>
        <w:jc w:val="both"/>
        <w:rPr>
          <w:rFonts w:ascii="Times New Roman" w:hAnsi="Times New Roman" w:cs="Times New Roman"/>
          <w:sz w:val="20"/>
          <w:lang w:val="pt-BR"/>
        </w:rPr>
      </w:pPr>
      <w:r w:rsidRPr="004A6A82">
        <w:rPr>
          <w:rFonts w:ascii="Times New Roman" w:hAnsi="Times New Roman" w:cs="Times New Roman"/>
          <w:sz w:val="20"/>
          <w:lang w:val="pt-BR"/>
        </w:rPr>
        <w:t xml:space="preserve">Fonte: os autores (2014) adaptado de </w:t>
      </w:r>
      <w:proofErr w:type="spellStart"/>
      <w:r w:rsidRPr="004A6A82">
        <w:rPr>
          <w:rFonts w:ascii="Times New Roman" w:hAnsi="Times New Roman" w:cs="Times New Roman"/>
          <w:sz w:val="20"/>
        </w:rPr>
        <w:t>Lichtenthaler</w:t>
      </w:r>
      <w:proofErr w:type="spellEnd"/>
      <w:r w:rsidRPr="004A6A82">
        <w:rPr>
          <w:rFonts w:ascii="Times New Roman" w:hAnsi="Times New Roman" w:cs="Times New Roman"/>
          <w:sz w:val="20"/>
        </w:rPr>
        <w:t xml:space="preserve"> (2005).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0AD"/>
    <w:rsid w:val="003C3397"/>
    <w:rsid w:val="00CB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009C8-791C-4EB6-9891-9433EC33A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0AD"/>
    <w:pPr>
      <w:widowControl w:val="0"/>
      <w:spacing w:after="200" w:line="276" w:lineRule="auto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CB70A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CB70A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2014-11-05T13:09:00Z</dcterms:created>
  <dcterms:modified xsi:type="dcterms:W3CDTF">2014-11-05T13:09:00Z</dcterms:modified>
</cp:coreProperties>
</file>